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Приложение</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к постановлению администрации района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от </w:t>
      </w:r>
      <w:r>
        <w:rPr>
          <w:rFonts w:cs="Times New Roman" w:ascii="Times New Roman" w:hAnsi="Times New Roman"/>
          <w:sz w:val="28"/>
          <w:szCs w:val="28"/>
        </w:rPr>
        <w:t xml:space="preserve">01.07.2021 </w:t>
      </w:r>
      <w:r>
        <w:rPr>
          <w:rFonts w:cs="Times New Roman" w:ascii="Times New Roman" w:hAnsi="Times New Roman"/>
          <w:sz w:val="28"/>
          <w:szCs w:val="28"/>
        </w:rPr>
        <w:t xml:space="preserve"> № </w:t>
      </w:r>
      <w:bookmarkStart w:id="0" w:name="_GoBack"/>
      <w:bookmarkEnd w:id="0"/>
      <w:r>
        <w:rPr>
          <w:rFonts w:cs="Times New Roman" w:ascii="Times New Roman" w:hAnsi="Times New Roman"/>
          <w:sz w:val="28"/>
          <w:szCs w:val="28"/>
        </w:rPr>
        <w:t xml:space="preserve"> </w:t>
      </w:r>
      <w:r>
        <w:rPr>
          <w:rFonts w:cs="Times New Roman" w:ascii="Times New Roman" w:hAnsi="Times New Roman"/>
          <w:sz w:val="28"/>
          <w:szCs w:val="28"/>
        </w:rPr>
        <w:t>431</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МУНИЦИПАЛЬНАЯ ПРОГРАММА «ОБЕСПЕЧЕНИЕ ИНФОРМАЦИОННОЙ ОТКРЫТОСТИ И ДОСТУПНОСТИ ДЕЯТЕЛЬНОСТИ ОРГАНОВ МЕСТНОГО САМОУПРАВЛЕНИЯ КИРСАНОВСКОГО РАЙОНА НА 2015 - 2024 ГОДЫ» (ДАЛЕЕ МУНИЦИПАЛЬНАЯ ПРОГРАММА)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Паспорт муниципальной программы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bl>
      <w:tblPr>
        <w:tblStyle w:val="a3"/>
        <w:tblW w:w="9571"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785"/>
        <w:gridCol w:w="4785"/>
      </w:tblGrid>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Ответственный исполнитель муниципальной программы</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Отдел организационной, правовой и кадровой работы администрации района</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Соисполнитель программы</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Структурные подразделения администрации района</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Цель муниципальной программы</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Создание устойчивых и эффективных коммуникационных каналов органов местного самоуправления Кирсановского района</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Задачи муниципальной программы</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Для достижения поставленной цели должны быть решены следующие задачи: обеспечение доступа граждан и организаций к своевременной и полной информации о деятельности органов местного самоуправления через различные каналы информирования; формирование позитивного информационного поля о Кирсановском районе; активизация диалога журналистского сообщества с органами муниципальной власти района.</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Сроки и этапы программы</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2014 – 2024 гг.</w:t>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Этапы реализации муниципальной программы не выделяются</w:t>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Ожидаемый результат</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Обеспечение информационной открытости органов местного самоуправления района</w:t>
            </w:r>
          </w:p>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r>
      <w:tr>
        <w:trPr/>
        <w:tc>
          <w:tcPr>
            <w:tcW w:w="9570" w:type="dxa"/>
            <w:gridSpan w:val="2"/>
            <w:tcBorders/>
          </w:tcPr>
          <w:p>
            <w:pPr>
              <w:pStyle w:val="Normal"/>
              <w:widowControl w:val="false"/>
              <w:suppressAutoHyphens w:val="true"/>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w:t>
            </w:r>
          </w:p>
        </w:tc>
      </w:tr>
      <w:tr>
        <w:trPr/>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Объем и источники финансирования программы</w:t>
            </w:r>
          </w:p>
        </w:tc>
        <w:tc>
          <w:tcPr>
            <w:tcW w:w="4785" w:type="dxa"/>
            <w:tcBorders/>
          </w:tcPr>
          <w:p>
            <w:pPr>
              <w:pStyle w:val="Normal"/>
              <w:widowControl w:val="false"/>
              <w:suppressAutoHyphens w:val="tru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Источники финансирования программы – средства местного бюджета. Предполагаемый объем финансирования Программы за счет средств местного бюджета за весь период реализации Программы – 686,8 тыс. рублей, в том числе:</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2015 год – 0,0 тыс. рублей;</w:t>
            </w:r>
          </w:p>
          <w:p>
            <w:pPr>
              <w:pStyle w:val="Normal"/>
              <w:widowControl w:val="false"/>
              <w:tabs>
                <w:tab w:val="clear" w:pos="708"/>
                <w:tab w:val="left" w:pos="0" w:leader="none"/>
                <w:tab w:val="center" w:pos="3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ab/>
              <w:t>2016 год – 1,0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2017 год – 2,2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2018 год – 0,0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2019 год – 380,0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2020 год – 100,0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2021 год – 100,0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2022 год – 100,0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2023 год – 1,8 тыс. рублей;</w:t>
            </w:r>
          </w:p>
          <w:p>
            <w:pPr>
              <w:pStyle w:val="Normal"/>
              <w:widowControl w:val="false"/>
              <w:tabs>
                <w:tab w:val="clear" w:pos="708"/>
                <w:tab w:val="left" w:pos="615" w:leader="none"/>
              </w:tabs>
              <w:suppressAutoHyphens w:val="true"/>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2024 год – 1,8 тыс. рублей.</w:t>
            </w:r>
          </w:p>
        </w:tc>
      </w:tr>
    </w:tbl>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 Общая характеристика сферы реализации муниципальной программы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Информационная открытость и доступность деятельности органов муниципальной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власти.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Также следует обратить внимание на то, что воплощение принципов информационной открытости и доступности органов местного самоуправления непосредственно связано с антикоррупционным направлением административной реформы. Введение механизмов информационной открытости и доступности в систему вышеуказанных органов и реальное их обеспечение можно рассматривать в качестве одной из форм противодействия коррупции.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Повышение привлекательности района строится на использовании важнейшего инструмента позиционирования, которым являются средства массовой коммуникации. Значительный эффект дает грамотная технология менеджмента новостей, целенаправленное распространение в средствах массовой информации информационно-аналитических материалов о проводимых в районе социально-экономических преобразованиях, презентационных материалов, рассказывающих о возможностях и перспективах развития района.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Таким образом, в целях дальнейшего продвижения бренда, конкурентных преимуществ района и открытия информации о деятельности </w:t>
      </w:r>
    </w:p>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t>3</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органов местного самоуправления района необходимо особое внимание уделить более системному и эффективному использованию различных каналов коммуникаций, распространению объективных сообщений и сведений о районе через региональные и местные СМИ, Интернет; проведению специальных информационных и коммуникативных акций.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Решить задачи по обеспечению информационной доступности и открытости деятельности органов местного самоуправления района, проведению эффективной информационной политики района, повышению его вклада в обеспечение конкурентоспособности, возможно только в рамках программного подхода.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 Приоритеты муниципальной политики в сфере реализации муниципальной программы, цель, задачи, сроки и этапы реализации муниципальной программы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Приоритеты муниципальной политики в сфере обеспечения информационной открытости и доступности деятельности органов местного самоуправления района на период до 2020 года сформулированы с учетом целей и задач, поставленных в следующих стратегических документах федерального и регионального уровней: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Концепции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N 1662-р);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Федеральном законе от 9 февраля 2009 г. № 8 - ФЗ «Об обеспечении доступа к информации о деятельности государственных органов и органов местного самоуправления:»: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Федеральном законе от 27 мая 2003 г. № 58 - ФЗ «О системе муниципальной службы Российской Федерации» закрепляет открытость муниципальной службы и ее доступность общественному контролю, объективное информирование общества о деятельности государственных и муниципальных служащих;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Федеральном законе от 13 января 1995 г. № 7 - ФЗ «О порядке освещения деятельности органов муниципальной власти в государственных средствах массовой информации»;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Законе РФ от 27 декабря 1991 г. № 2124-1 «О средствах массовой информации»;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Постановлении Правительства РФ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Приоритетными направлениями муниципальной политики в сфере обеспечения информационной открытости и доступности деятельности органов местного самоуправления района станут:</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center"/>
        <w:rPr>
          <w:rFonts w:ascii="Times New Roman" w:hAnsi="Times New Roman" w:cs="Times New Roman"/>
          <w:sz w:val="28"/>
          <w:szCs w:val="28"/>
        </w:rPr>
      </w:pPr>
      <w:r>
        <w:rPr>
          <w:rFonts w:cs="Times New Roman" w:ascii="Times New Roman" w:hAnsi="Times New Roman"/>
          <w:sz w:val="28"/>
          <w:szCs w:val="28"/>
        </w:rPr>
        <w:t>4</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обеспечение информационной открытости органов местного самоуправления района, в том числе раскрытия информации, не отнесенной к информации ограниченного доступа;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повышение результативности деятельности администрации района и подведомственных ей учреждений;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проведение эффективной информационной политики района, повышение ее вклада в обеспечение конкурентоспособности района.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Цель муниципальной программы - создание устойчивых и эффективных коммуникационных каналов органов местного самоуправления района.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Достижение цели муниципальной программы обеспечивается путем решения следующих задач: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обеспечение доступа граждан и организаций к своевременной и полной информации о деятельности органов власти района через различные каналы информирования;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формирование позитивного информационного поля о районе;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активизация диалога журналистского сообщества с органами муниципальной власти района;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повышение профессионального уровня и творческой активности работников средств массовой информации, подведомственных органам власти района. </w:t>
      </w:r>
    </w:p>
    <w:p>
      <w:pPr>
        <w:pStyle w:val="Normal"/>
        <w:spacing w:lineRule="auto" w:line="240" w:before="0" w:after="0"/>
        <w:rPr>
          <w:sz w:val="28"/>
          <w:szCs w:val="28"/>
        </w:rPr>
      </w:pPr>
      <w:r>
        <w:rPr>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Показатели (индикаторы) достижения целей и решения задач, основные ожидаемые конечные результаты муниципальной программы</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Целевыми индикаторами и показателями программы являются относительные и абсолютные показатели, характеризующие информационную активность, а именно: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количество собственных информационных сообщений на сайте администрации района - 1200 шт.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количество информационных сообщений о деятельности органов местного самоуправления района и событиях в средствах массовой информации, в том числе электронных – 220 шт.</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 количество посещений сайта не менее – 56 тыс. чел.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 Обобщенная характеристика мероприятий муниципальной программы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Муниципальная программа предполагает проведение конкретных, взаимосвязанных между собой мероприятий по обеспечению открытости и доступности деятельности органов местного самоуправления района: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подготовка и размещение материалов о деятельности органов местного самоуправления района в печатных СМИ, на сайте администрации района. Комплекс указанных мероприятий рассчитан на освещение деятельности органов власти района различными видами средств массовой информации   в </w:t>
      </w:r>
    </w:p>
    <w:p>
      <w:pPr>
        <w:pStyle w:val="Normal"/>
        <w:spacing w:lineRule="auto" w:line="240" w:before="0" w:after="0"/>
        <w:ind w:firstLine="708"/>
        <w:jc w:val="center"/>
        <w:rPr>
          <w:rFonts w:ascii="Times New Roman" w:hAnsi="Times New Roman" w:cs="Times New Roman"/>
          <w:sz w:val="28"/>
          <w:szCs w:val="28"/>
        </w:rPr>
      </w:pPr>
      <w:r>
        <w:rPr>
          <w:rFonts w:cs="Times New Roman" w:ascii="Times New Roman" w:hAnsi="Times New Roman"/>
          <w:sz w:val="28"/>
          <w:szCs w:val="28"/>
        </w:rPr>
        <w:t>5</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целях наибольшего охвата предполагаемой аудитории и вариативности представления информации;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размещение информационных сообщений на новостной ленте сайта администрации района, мероприятие направлено на увеличение посещаемости сайта органов местного самоуправления района посредством размещения максимального количества сообщений на социально значимые вопросы деятельности органов власти;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организация и проведение информационных мероприятий для прессы; мероприятие осуществляется в целях создания условий для получения гражданами и организациями своевременной и полной информации о деятельности органов власти района, установления взаимодействия с представителями средств массовой информации.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Основное мероприятие и направления реализации программы, источники и объемы финансирования изложены в приложении к данной муниципальной программе.</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Прогноз сводных показателей муниципальных заданий в рамках реализации муниципальной программы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ab/>
        <w:t>Перечень работ включает в себя: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опубликование нормативных правовых документов администрации района и Кирсановского районного Совета народных депутатов.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освещение деятельности органов местного самоуправления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освещение приоритетных направлений социально – экономического развития района в средствах массовой информации.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Основное мероприятие: «Информирование населения Кирсановского района о мероприятиях социально – значимой направленности, деятельности органов местного самоуправления посредством печатных и электронных средств массой информации».</w:t>
      </w:r>
    </w:p>
    <w:p>
      <w:pPr>
        <w:pStyle w:val="Normal"/>
        <w:spacing w:lineRule="auto" w:line="240" w:before="0" w:after="0"/>
        <w:ind w:firstLine="708"/>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Обоснование объема финансовых ресурсов, необходимых</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для реализации Программы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Источники финансирования программы – средства местного бюджета.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Предполагаемые объемы финансирования Программы за счет средств местного бюджета за весь период реализации Программы 686,8 тыс. рублей, в том числе:</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2015 год – 0,0 тыс. рублей;</w:t>
      </w:r>
    </w:p>
    <w:p>
      <w:pPr>
        <w:pStyle w:val="Normal"/>
        <w:tabs>
          <w:tab w:val="clear" w:pos="708"/>
          <w:tab w:val="left" w:pos="0" w:leader="none"/>
          <w:tab w:val="center" w:pos="3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2016 год – 1,0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2017 год – 2,2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2018 год – 0,0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2019 год – 380,0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2020 год – 100,0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2021 год – 100,0 тыс. рублей;</w:t>
      </w:r>
    </w:p>
    <w:p>
      <w:pPr>
        <w:pStyle w:val="Normal"/>
        <w:tabs>
          <w:tab w:val="clear" w:pos="708"/>
          <w:tab w:val="left" w:pos="615"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2022 год – 100,0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2023 год – 1,8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2024 год – 1,8 тыс. рублей.</w:t>
      </w:r>
    </w:p>
    <w:p>
      <w:pPr>
        <w:pStyle w:val="Normal"/>
        <w:tabs>
          <w:tab w:val="clear" w:pos="708"/>
          <w:tab w:val="left" w:pos="615"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7. Механизмы реализации муниципальной программы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Реализация муниципальной программы осуществляется ответственным исполнителем.</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Ответственным исполнителем муниципальной программы является отдел организационной, правовой и кадровой работы администрации района. </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Ответственный исполнитель размещает на официальном сайте в информационно-коммуникационной сети "Интернет" информацию о муниципальной программе, ходе ее реализации, достижении значений показателей муниципальной программы, степени выполнения ее мероприятий.</w:t>
      </w:r>
    </w:p>
    <w:sectPr>
      <w:type w:val="nextPage"/>
      <w:pgSz w:w="11906" w:h="16838"/>
      <w:pgMar w:left="1701" w:right="850" w:header="0" w:top="1134" w:footer="0" w:bottom="1134" w:gutter="0"/>
      <w:pgNumType w:start="2"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d778c"/>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3e12f6"/>
    <w:rPr>
      <w:rFonts w:ascii="Segoe UI" w:hAnsi="Segoe UI" w:cs="Segoe UI"/>
      <w:sz w:val="18"/>
      <w:szCs w:val="18"/>
    </w:rPr>
  </w:style>
  <w:style w:type="character" w:styleId="Linenumber">
    <w:name w:val="line number"/>
    <w:basedOn w:val="DefaultParagraphFont"/>
    <w:uiPriority w:val="99"/>
    <w:semiHidden/>
    <w:unhideWhenUsed/>
    <w:qFormat/>
    <w:rsid w:val="00f10d12"/>
    <w:rPr/>
  </w:style>
  <w:style w:type="character" w:styleId="Style15" w:customStyle="1">
    <w:name w:val="Верхний колонтитул Знак"/>
    <w:basedOn w:val="DefaultParagraphFont"/>
    <w:link w:val="a7"/>
    <w:uiPriority w:val="99"/>
    <w:qFormat/>
    <w:rsid w:val="00f10d12"/>
    <w:rPr/>
  </w:style>
  <w:style w:type="character" w:styleId="Style16" w:customStyle="1">
    <w:name w:val="Нижний колонтитул Знак"/>
    <w:basedOn w:val="DefaultParagraphFont"/>
    <w:link w:val="a9"/>
    <w:uiPriority w:val="99"/>
    <w:qFormat/>
    <w:rsid w:val="00f10d12"/>
    <w:rPr/>
  </w:style>
  <w:style w:type="paragraph" w:styleId="Style17">
    <w:name w:val="Заголовок"/>
    <w:basedOn w:val="Normal"/>
    <w:next w:val="Style18"/>
    <w:qFormat/>
    <w:pPr>
      <w:keepNext w:val="true"/>
      <w:spacing w:before="240" w:after="120"/>
    </w:pPr>
    <w:rPr>
      <w:rFonts w:ascii="Liberation Sans" w:hAnsi="Liberation Sans" w:eastAsia="Tahoma" w:cs="Droid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Droid Sans Devanagari"/>
    </w:rPr>
  </w:style>
  <w:style w:type="paragraph" w:styleId="Style20">
    <w:name w:val="Caption"/>
    <w:basedOn w:val="Normal"/>
    <w:qFormat/>
    <w:pPr>
      <w:suppressLineNumbers/>
      <w:spacing w:before="120" w:after="120"/>
    </w:pPr>
    <w:rPr>
      <w:rFonts w:cs="Droid Sans Devanagari"/>
      <w:i/>
      <w:iCs/>
      <w:sz w:val="24"/>
      <w:szCs w:val="24"/>
    </w:rPr>
  </w:style>
  <w:style w:type="paragraph" w:styleId="Style21">
    <w:name w:val="Указатель"/>
    <w:basedOn w:val="Normal"/>
    <w:qFormat/>
    <w:pPr>
      <w:suppressLineNumbers/>
    </w:pPr>
    <w:rPr>
      <w:rFonts w:cs="Droid Sans Devanagari"/>
    </w:rPr>
  </w:style>
  <w:style w:type="paragraph" w:styleId="BalloonText">
    <w:name w:val="Balloon Text"/>
    <w:basedOn w:val="Normal"/>
    <w:link w:val="a5"/>
    <w:uiPriority w:val="99"/>
    <w:semiHidden/>
    <w:unhideWhenUsed/>
    <w:qFormat/>
    <w:rsid w:val="003e12f6"/>
    <w:pPr>
      <w:spacing w:lineRule="auto" w:line="240" w:before="0" w:after="0"/>
    </w:pPr>
    <w:rPr>
      <w:rFonts w:ascii="Segoe UI" w:hAnsi="Segoe UI" w:cs="Segoe UI"/>
      <w:sz w:val="18"/>
      <w:szCs w:val="18"/>
    </w:rPr>
  </w:style>
  <w:style w:type="paragraph" w:styleId="Style22">
    <w:name w:val="Верхний и нижний колонтитулы"/>
    <w:basedOn w:val="Normal"/>
    <w:qFormat/>
    <w:pPr/>
    <w:rPr/>
  </w:style>
  <w:style w:type="paragraph" w:styleId="Style23">
    <w:name w:val="Header"/>
    <w:basedOn w:val="Normal"/>
    <w:link w:val="a8"/>
    <w:uiPriority w:val="99"/>
    <w:unhideWhenUsed/>
    <w:rsid w:val="00f10d12"/>
    <w:pPr>
      <w:tabs>
        <w:tab w:val="clear" w:pos="708"/>
        <w:tab w:val="center" w:pos="4677" w:leader="none"/>
        <w:tab w:val="right" w:pos="9355" w:leader="none"/>
      </w:tabs>
      <w:spacing w:lineRule="auto" w:line="240" w:before="0" w:after="0"/>
    </w:pPr>
    <w:rPr/>
  </w:style>
  <w:style w:type="paragraph" w:styleId="Style24">
    <w:name w:val="Footer"/>
    <w:basedOn w:val="Normal"/>
    <w:link w:val="aa"/>
    <w:uiPriority w:val="99"/>
    <w:unhideWhenUsed/>
    <w:rsid w:val="00f10d12"/>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36181e"/>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13177-6315-49E8-BF19-A2F26BC09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Application>LibreOffice/7.0.6.2$Linux_X86_64 LibreOffice_project/00$Build-2</Application>
  <AppVersion>15.0000</AppVersion>
  <Pages>6</Pages>
  <Words>1177</Words>
  <Characters>8975</Characters>
  <CharactersWithSpaces>10257</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2016-01-14T11:44:00Z</dcterms:created>
  <dc:creator>OrgOtd-06</dc:creator>
  <dc:description/>
  <dc:language>ru-RU</dc:language>
  <cp:lastModifiedBy/>
  <cp:lastPrinted>2021-07-02T14:44:32Z</cp:lastPrinted>
  <dcterms:modified xsi:type="dcterms:W3CDTF">2021-07-07T09:37:47Z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